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江苏新海连发展集团有限公司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协会产品等</w:t>
      </w:r>
      <w:r>
        <w:rPr>
          <w:rFonts w:ascii="Times New Roman" w:hAnsi="Times New Roman" w:eastAsia="方正小标宋_GBK" w:cs="Times New Roman"/>
          <w:sz w:val="44"/>
          <w:szCs w:val="44"/>
        </w:rPr>
        <w:t>法律意见书报价单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</w:t>
      </w:r>
      <w:r>
        <w:rPr>
          <w:rFonts w:hint="eastAsia" w:ascii="Times New Roman" w:hAnsi="黑体" w:eastAsia="黑体" w:cs="Times New Roman"/>
          <w:sz w:val="32"/>
          <w:szCs w:val="32"/>
        </w:rPr>
        <w:t>分类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/>
          <w:color w:val="373737"/>
          <w:sz w:val="32"/>
          <w:szCs w:val="32"/>
          <w:shd w:val="clear" w:color="auto" w:fill="FFFFFF"/>
        </w:rPr>
        <w:t>中国银行间市场交易商协会的债券</w:t>
      </w:r>
      <w:r>
        <w:rPr>
          <w:rFonts w:hint="eastAsia" w:ascii="Times New Roman" w:hAnsi="Times New Roman" w:eastAsia="仿宋_GB2312"/>
          <w:color w:val="373737"/>
          <w:sz w:val="32"/>
          <w:szCs w:val="32"/>
          <w:shd w:val="clear" w:color="auto" w:fill="FFFFFF"/>
        </w:rPr>
        <w:t>（包含中期票据、短期融资券、超短期融资券、定向工具等）</w:t>
      </w:r>
      <w:r>
        <w:rPr>
          <w:rFonts w:ascii="Times New Roman" w:hAnsi="Times New Roman" w:eastAsia="仿宋_GB2312"/>
          <w:color w:val="373737"/>
          <w:sz w:val="32"/>
          <w:szCs w:val="32"/>
          <w:shd w:val="clear" w:color="auto" w:fill="FFFFFF"/>
        </w:rPr>
        <w:t>、北京金融</w:t>
      </w:r>
      <w:r>
        <w:rPr>
          <w:rFonts w:hint="eastAsia" w:ascii="Times New Roman" w:hAnsi="Times New Roman" w:eastAsia="仿宋_GB2312"/>
          <w:color w:val="373737"/>
          <w:sz w:val="32"/>
          <w:szCs w:val="32"/>
          <w:shd w:val="clear" w:color="auto" w:fill="FFFFFF"/>
        </w:rPr>
        <w:t>资产</w:t>
      </w:r>
      <w:r>
        <w:rPr>
          <w:rFonts w:ascii="Times New Roman" w:hAnsi="Times New Roman" w:eastAsia="仿宋_GB2312"/>
          <w:color w:val="373737"/>
          <w:sz w:val="32"/>
          <w:szCs w:val="32"/>
          <w:shd w:val="clear" w:color="auto" w:fill="FFFFFF"/>
        </w:rPr>
        <w:t>交易所债权融资计划及银行理财直接融资工具等</w:t>
      </w:r>
      <w:r>
        <w:rPr>
          <w:rFonts w:hint="eastAsia" w:ascii="Times New Roman" w:hAnsi="Times New Roman" w:eastAsia="仿宋_GB2312"/>
          <w:color w:val="373737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二、项目要求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本次报价人应满足下列资格条件：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（一）依照《中华人民共和国律师法》合法成立，具备当地司法管理部门颁发职业许可证的律师事务所；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（二）按国家规定参加年检合格，无违法违规行为或不良纪律；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（三）律师事务所整体业务能力在本地区有较高的行业知名度。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三、报价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出具法律意见书服务报价：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元/ 每期发行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（含6%增值税）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报价单位：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F123C"/>
    <w:rsid w:val="3A9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2021-10-29T02:57:00Z</dcterms:created>
  <dc:creator>akarina</dc:creator>
  <cp:lastModifiedBy>akarina</cp:lastModifiedBy>
  <dcterms:modified xsi:type="dcterms:W3CDTF">2021-10-29T02:57:26Z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04FAF41067354D19926DDB5AC8E9EFA3</vt:lpwstr>
  </property>
</Properties>
</file>